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E93B" w14:textId="77777777" w:rsidR="00935963" w:rsidRDefault="004C5A27">
      <w:pPr>
        <w:pStyle w:val="Heading1"/>
        <w:spacing w:before="79" w:line="360" w:lineRule="auto"/>
        <w:ind w:right="2965"/>
      </w:pPr>
      <w:r>
        <w:t xml:space="preserve">Regulatory Mechanism # </w:t>
      </w:r>
      <w:r w:rsidR="0093357D">
        <w:t>03</w:t>
      </w:r>
      <w:r w:rsidR="00833468">
        <w:t xml:space="preserve"> - </w:t>
      </w:r>
      <w:r>
        <w:t>Pet Waste SECTION I. Purpose:</w:t>
      </w:r>
    </w:p>
    <w:p w14:paraId="4C346781" w14:textId="77777777" w:rsidR="00935963" w:rsidRDefault="004C5A27" w:rsidP="003E55CF">
      <w:pPr>
        <w:pStyle w:val="BodyText"/>
        <w:ind w:left="100" w:right="113"/>
        <w:jc w:val="both"/>
        <w:rPr>
          <w:sz w:val="26"/>
        </w:rPr>
      </w:pPr>
      <w:r>
        <w:t>A</w:t>
      </w:r>
      <w:r>
        <w:rPr>
          <w:spacing w:val="-8"/>
        </w:rPr>
        <w:t xml:space="preserve"> </w:t>
      </w:r>
      <w:r>
        <w:t>regulation</w:t>
      </w:r>
      <w:r>
        <w:rPr>
          <w:spacing w:val="-10"/>
        </w:rPr>
        <w:t xml:space="preserve"> </w:t>
      </w:r>
      <w:r>
        <w:t>to</w:t>
      </w:r>
      <w:r>
        <w:rPr>
          <w:spacing w:val="-7"/>
        </w:rPr>
        <w:t xml:space="preserve"> </w:t>
      </w:r>
      <w:r>
        <w:t>establish</w:t>
      </w:r>
      <w:r>
        <w:rPr>
          <w:spacing w:val="-8"/>
        </w:rPr>
        <w:t xml:space="preserve"> </w:t>
      </w:r>
      <w:r>
        <w:t>requirements</w:t>
      </w:r>
      <w:r>
        <w:rPr>
          <w:spacing w:val="-9"/>
        </w:rPr>
        <w:t xml:space="preserve"> </w:t>
      </w:r>
      <w:r>
        <w:t>for</w:t>
      </w:r>
      <w:r>
        <w:rPr>
          <w:spacing w:val="-9"/>
        </w:rPr>
        <w:t xml:space="preserve"> </w:t>
      </w:r>
      <w:r>
        <w:t>the</w:t>
      </w:r>
      <w:r>
        <w:rPr>
          <w:spacing w:val="-13"/>
        </w:rPr>
        <w:t xml:space="preserve"> </w:t>
      </w:r>
      <w:r>
        <w:t>proper</w:t>
      </w:r>
      <w:r>
        <w:rPr>
          <w:spacing w:val="-9"/>
        </w:rPr>
        <w:t xml:space="preserve"> </w:t>
      </w:r>
      <w:r>
        <w:t>disposal</w:t>
      </w:r>
      <w:r>
        <w:rPr>
          <w:spacing w:val="-12"/>
        </w:rPr>
        <w:t xml:space="preserve"> </w:t>
      </w:r>
      <w:r>
        <w:t>of</w:t>
      </w:r>
      <w:r>
        <w:rPr>
          <w:spacing w:val="-8"/>
        </w:rPr>
        <w:t xml:space="preserve"> </w:t>
      </w:r>
      <w:r>
        <w:t>pet</w:t>
      </w:r>
      <w:r>
        <w:rPr>
          <w:spacing w:val="-11"/>
        </w:rPr>
        <w:t xml:space="preserve"> </w:t>
      </w:r>
      <w:r>
        <w:t>solid</w:t>
      </w:r>
      <w:r>
        <w:rPr>
          <w:spacing w:val="-8"/>
        </w:rPr>
        <w:t xml:space="preserve"> </w:t>
      </w:r>
      <w:r>
        <w:t>waste</w:t>
      </w:r>
      <w:r>
        <w:rPr>
          <w:spacing w:val="-7"/>
        </w:rPr>
        <w:t xml:space="preserve"> </w:t>
      </w:r>
      <w:r w:rsidRPr="009C4403">
        <w:t>in</w:t>
      </w:r>
      <w:r w:rsidRPr="009C4403">
        <w:rPr>
          <w:spacing w:val="-1"/>
        </w:rPr>
        <w:t xml:space="preserve"> </w:t>
      </w:r>
      <w:r w:rsidR="0093357D" w:rsidRPr="009C4403">
        <w:t>Rowan College at Burlington County</w:t>
      </w:r>
      <w:r w:rsidRPr="009C4403">
        <w:t xml:space="preserve"> to protect the environment, public health, safety and welfare, and to prescribe penalties for failure to</w:t>
      </w:r>
      <w:r w:rsidRPr="009C4403">
        <w:rPr>
          <w:spacing w:val="-9"/>
        </w:rPr>
        <w:t xml:space="preserve"> </w:t>
      </w:r>
      <w:r w:rsidRPr="009C4403">
        <w:t>comply.</w:t>
      </w:r>
    </w:p>
    <w:p w14:paraId="1173AF6F" w14:textId="77777777" w:rsidR="00935963" w:rsidRDefault="00935963">
      <w:pPr>
        <w:pStyle w:val="BodyText"/>
        <w:spacing w:before="7"/>
        <w:rPr>
          <w:sz w:val="29"/>
        </w:rPr>
      </w:pPr>
    </w:p>
    <w:p w14:paraId="1E1DFA8F" w14:textId="77777777" w:rsidR="00935963" w:rsidRDefault="004C5A27">
      <w:pPr>
        <w:pStyle w:val="Heading1"/>
      </w:pPr>
      <w:r>
        <w:t>SECTION II. Definitions:</w:t>
      </w:r>
    </w:p>
    <w:p w14:paraId="7F22137E" w14:textId="77777777" w:rsidR="00935963" w:rsidRDefault="004C5A27">
      <w:pPr>
        <w:pStyle w:val="BodyText"/>
        <w:spacing w:before="162"/>
        <w:ind w:left="100" w:right="120"/>
        <w:jc w:val="both"/>
      </w:pPr>
      <w:r>
        <w:t xml:space="preserve">For the purpose of this regulation, the following terms, phrases, words, and their derivations, shall have the meanings stated herein unless their use in the text of this Chapter clearly demonstrates a different meaning. When consistent with the context, words used in the present tense include the future, words used in the plural number include the singular number, and words used in the singular number include the plural number. The word “shall” </w:t>
      </w:r>
      <w:proofErr w:type="gramStart"/>
      <w:r>
        <w:t>is</w:t>
      </w:r>
      <w:proofErr w:type="gramEnd"/>
      <w:r>
        <w:t xml:space="preserve"> always mandatory and not merely directory.</w:t>
      </w:r>
    </w:p>
    <w:p w14:paraId="5952B6EB" w14:textId="77777777" w:rsidR="00935963" w:rsidRDefault="00935963">
      <w:pPr>
        <w:pStyle w:val="BodyText"/>
        <w:spacing w:before="1"/>
        <w:rPr>
          <w:sz w:val="38"/>
        </w:rPr>
      </w:pPr>
    </w:p>
    <w:p w14:paraId="55402FA9" w14:textId="77777777" w:rsidR="00935963" w:rsidRDefault="004C5A27">
      <w:pPr>
        <w:pStyle w:val="ListParagraph"/>
        <w:numPr>
          <w:ilvl w:val="0"/>
          <w:numId w:val="1"/>
        </w:numPr>
        <w:tabs>
          <w:tab w:val="left" w:pos="821"/>
        </w:tabs>
        <w:ind w:right="121"/>
        <w:jc w:val="both"/>
        <w:rPr>
          <w:sz w:val="24"/>
        </w:rPr>
      </w:pPr>
      <w:r>
        <w:rPr>
          <w:sz w:val="24"/>
        </w:rPr>
        <w:t>“Owner/Keeper” means any person who shall possess, maintain, house or harbor any pet or otherwise have custody of any pet, whether the owner of such</w:t>
      </w:r>
      <w:r>
        <w:rPr>
          <w:spacing w:val="-17"/>
          <w:sz w:val="24"/>
        </w:rPr>
        <w:t xml:space="preserve"> </w:t>
      </w:r>
      <w:r>
        <w:rPr>
          <w:sz w:val="24"/>
        </w:rPr>
        <w:t>pet.</w:t>
      </w:r>
    </w:p>
    <w:p w14:paraId="1A713B84" w14:textId="77777777" w:rsidR="00935963" w:rsidRDefault="00935963">
      <w:pPr>
        <w:pStyle w:val="BodyText"/>
        <w:spacing w:before="9"/>
        <w:rPr>
          <w:sz w:val="25"/>
        </w:rPr>
      </w:pPr>
    </w:p>
    <w:p w14:paraId="0504F79F" w14:textId="77777777" w:rsidR="00935963" w:rsidRPr="009C4403" w:rsidRDefault="004C5A27" w:rsidP="009C4403">
      <w:pPr>
        <w:pStyle w:val="ListParagraph"/>
        <w:numPr>
          <w:ilvl w:val="0"/>
          <w:numId w:val="1"/>
        </w:numPr>
        <w:tabs>
          <w:tab w:val="left" w:pos="821"/>
        </w:tabs>
        <w:ind w:right="115"/>
        <w:jc w:val="both"/>
        <w:rPr>
          <w:sz w:val="26"/>
        </w:rPr>
      </w:pPr>
      <w:r>
        <w:rPr>
          <w:sz w:val="24"/>
        </w:rPr>
        <w:t>“Person” means any individual, corporation, company, partnership, firm, association, or political subdivision of this State that is subject to the Public Complex's</w:t>
      </w:r>
      <w:r w:rsidRPr="009C4403">
        <w:rPr>
          <w:spacing w:val="-2"/>
          <w:sz w:val="24"/>
        </w:rPr>
        <w:t xml:space="preserve"> </w:t>
      </w:r>
      <w:r>
        <w:rPr>
          <w:sz w:val="24"/>
        </w:rPr>
        <w:t>jurisdiction.</w:t>
      </w:r>
    </w:p>
    <w:p w14:paraId="2A9C38E0" w14:textId="77777777" w:rsidR="00935963" w:rsidRDefault="00935963">
      <w:pPr>
        <w:pStyle w:val="BodyText"/>
        <w:spacing w:before="7"/>
        <w:rPr>
          <w:sz w:val="27"/>
        </w:rPr>
      </w:pPr>
    </w:p>
    <w:p w14:paraId="463E9FFF" w14:textId="77777777" w:rsidR="00935963" w:rsidRPr="009C4403" w:rsidRDefault="004C5A27" w:rsidP="009C4403">
      <w:pPr>
        <w:pStyle w:val="ListParagraph"/>
        <w:numPr>
          <w:ilvl w:val="0"/>
          <w:numId w:val="1"/>
        </w:numPr>
        <w:tabs>
          <w:tab w:val="left" w:pos="821"/>
        </w:tabs>
        <w:spacing w:before="1"/>
        <w:ind w:hanging="361"/>
        <w:rPr>
          <w:sz w:val="26"/>
        </w:rPr>
      </w:pPr>
      <w:r>
        <w:rPr>
          <w:sz w:val="24"/>
        </w:rPr>
        <w:t>“Pet” means any domesticated animal kept for</w:t>
      </w:r>
      <w:r w:rsidRPr="009C4403">
        <w:rPr>
          <w:spacing w:val="-13"/>
          <w:sz w:val="24"/>
        </w:rPr>
        <w:t xml:space="preserve"> </w:t>
      </w:r>
      <w:r>
        <w:rPr>
          <w:sz w:val="24"/>
        </w:rPr>
        <w:t>companionship.</w:t>
      </w:r>
    </w:p>
    <w:p w14:paraId="6B8CE36F" w14:textId="77777777" w:rsidR="00935963" w:rsidRDefault="00935963">
      <w:pPr>
        <w:pStyle w:val="BodyText"/>
        <w:spacing w:before="9"/>
        <w:rPr>
          <w:sz w:val="27"/>
        </w:rPr>
      </w:pPr>
    </w:p>
    <w:p w14:paraId="16FE0573" w14:textId="77777777" w:rsidR="00935963" w:rsidRPr="009C4403" w:rsidRDefault="004C5A27" w:rsidP="009C4403">
      <w:pPr>
        <w:pStyle w:val="ListParagraph"/>
        <w:numPr>
          <w:ilvl w:val="0"/>
          <w:numId w:val="1"/>
        </w:numPr>
        <w:tabs>
          <w:tab w:val="left" w:pos="821"/>
        </w:tabs>
        <w:ind w:hanging="361"/>
        <w:rPr>
          <w:sz w:val="26"/>
        </w:rPr>
      </w:pPr>
      <w:r>
        <w:rPr>
          <w:sz w:val="24"/>
        </w:rPr>
        <w:t>“Pet solid waste” means feces from any domesticated</w:t>
      </w:r>
      <w:r w:rsidRPr="009C4403">
        <w:rPr>
          <w:spacing w:val="-9"/>
          <w:sz w:val="24"/>
        </w:rPr>
        <w:t xml:space="preserve"> </w:t>
      </w:r>
      <w:r>
        <w:rPr>
          <w:sz w:val="24"/>
        </w:rPr>
        <w:t>animal.</w:t>
      </w:r>
    </w:p>
    <w:p w14:paraId="2A23C473" w14:textId="77777777" w:rsidR="00935963" w:rsidRDefault="00935963">
      <w:pPr>
        <w:pStyle w:val="BodyText"/>
        <w:spacing w:before="7"/>
        <w:rPr>
          <w:sz w:val="27"/>
        </w:rPr>
      </w:pPr>
    </w:p>
    <w:p w14:paraId="3934480B" w14:textId="77777777" w:rsidR="00935963" w:rsidRPr="009C4403" w:rsidRDefault="004C5A27" w:rsidP="009C4403">
      <w:pPr>
        <w:pStyle w:val="ListParagraph"/>
        <w:numPr>
          <w:ilvl w:val="0"/>
          <w:numId w:val="1"/>
        </w:numPr>
        <w:tabs>
          <w:tab w:val="left" w:pos="821"/>
        </w:tabs>
        <w:spacing w:before="1"/>
        <w:ind w:right="122"/>
        <w:jc w:val="both"/>
        <w:rPr>
          <w:sz w:val="26"/>
        </w:rPr>
      </w:pPr>
      <w:r>
        <w:rPr>
          <w:sz w:val="24"/>
        </w:rPr>
        <w:t>“Proper disposal” means placement in a designated waste receptacle, or other suitable container which is regularly emptied by the municipality or some other refuse collector; or disposal into a system designed to convey domestic sewage for proper treatment and</w:t>
      </w:r>
      <w:r w:rsidRPr="009C4403">
        <w:rPr>
          <w:spacing w:val="-1"/>
          <w:sz w:val="24"/>
        </w:rPr>
        <w:t xml:space="preserve"> </w:t>
      </w:r>
      <w:r>
        <w:rPr>
          <w:sz w:val="24"/>
        </w:rPr>
        <w:t>disposal.</w:t>
      </w:r>
    </w:p>
    <w:p w14:paraId="25BCA6CA" w14:textId="77777777" w:rsidR="00935963" w:rsidRDefault="00935963">
      <w:pPr>
        <w:pStyle w:val="BodyText"/>
        <w:spacing w:before="9"/>
        <w:rPr>
          <w:sz w:val="23"/>
        </w:rPr>
      </w:pPr>
    </w:p>
    <w:p w14:paraId="51575039" w14:textId="77777777" w:rsidR="00935963" w:rsidRDefault="004C5A27">
      <w:pPr>
        <w:pStyle w:val="Heading1"/>
      </w:pPr>
      <w:r>
        <w:t>SECTION III. Regulated Activities:</w:t>
      </w:r>
    </w:p>
    <w:p w14:paraId="1DAD876E" w14:textId="77777777" w:rsidR="000169C3" w:rsidRDefault="004C5A27" w:rsidP="000169C3">
      <w:pPr>
        <w:pStyle w:val="BodyText"/>
        <w:spacing w:before="162"/>
        <w:ind w:left="100" w:right="114"/>
        <w:jc w:val="both"/>
      </w:pPr>
      <w:r>
        <w:t>All</w:t>
      </w:r>
      <w:r>
        <w:rPr>
          <w:spacing w:val="-16"/>
        </w:rPr>
        <w:t xml:space="preserve"> </w:t>
      </w:r>
      <w:r>
        <w:t>pet</w:t>
      </w:r>
      <w:r>
        <w:rPr>
          <w:spacing w:val="-16"/>
        </w:rPr>
        <w:t xml:space="preserve"> </w:t>
      </w:r>
      <w:r>
        <w:t>owners</w:t>
      </w:r>
      <w:r>
        <w:rPr>
          <w:spacing w:val="-15"/>
        </w:rPr>
        <w:t xml:space="preserve"> </w:t>
      </w:r>
      <w:r>
        <w:t>and</w:t>
      </w:r>
      <w:r>
        <w:rPr>
          <w:spacing w:val="-15"/>
        </w:rPr>
        <w:t xml:space="preserve"> </w:t>
      </w:r>
      <w:r>
        <w:t>keepers</w:t>
      </w:r>
      <w:r>
        <w:rPr>
          <w:spacing w:val="-15"/>
        </w:rPr>
        <w:t xml:space="preserve"> </w:t>
      </w:r>
      <w:r>
        <w:t>are</w:t>
      </w:r>
      <w:r>
        <w:rPr>
          <w:spacing w:val="-16"/>
        </w:rPr>
        <w:t xml:space="preserve"> </w:t>
      </w:r>
      <w:r>
        <w:t>required</w:t>
      </w:r>
      <w:r>
        <w:rPr>
          <w:spacing w:val="-15"/>
        </w:rPr>
        <w:t xml:space="preserve"> </w:t>
      </w:r>
      <w:r>
        <w:t>to</w:t>
      </w:r>
      <w:r>
        <w:rPr>
          <w:spacing w:val="-15"/>
        </w:rPr>
        <w:t xml:space="preserve"> </w:t>
      </w:r>
      <w:r>
        <w:t>immediately</w:t>
      </w:r>
      <w:r>
        <w:rPr>
          <w:spacing w:val="-17"/>
        </w:rPr>
        <w:t xml:space="preserve"> </w:t>
      </w:r>
      <w:r>
        <w:t>and</w:t>
      </w:r>
      <w:r>
        <w:rPr>
          <w:spacing w:val="-16"/>
        </w:rPr>
        <w:t xml:space="preserve"> </w:t>
      </w:r>
      <w:r>
        <w:t>properly</w:t>
      </w:r>
      <w:r>
        <w:rPr>
          <w:spacing w:val="-16"/>
        </w:rPr>
        <w:t xml:space="preserve"> </w:t>
      </w:r>
      <w:r>
        <w:t>dispose</w:t>
      </w:r>
      <w:r>
        <w:rPr>
          <w:spacing w:val="-16"/>
        </w:rPr>
        <w:t xml:space="preserve"> </w:t>
      </w:r>
      <w:r>
        <w:t>of</w:t>
      </w:r>
      <w:r>
        <w:rPr>
          <w:spacing w:val="-16"/>
        </w:rPr>
        <w:t xml:space="preserve"> </w:t>
      </w:r>
      <w:r>
        <w:t>their</w:t>
      </w:r>
      <w:r>
        <w:rPr>
          <w:spacing w:val="-18"/>
        </w:rPr>
        <w:t xml:space="preserve"> </w:t>
      </w:r>
      <w:r>
        <w:t>pet’s solid waste deposited on any property, public or private, not owned or</w:t>
      </w:r>
      <w:r>
        <w:rPr>
          <w:spacing w:val="-48"/>
        </w:rPr>
        <w:t xml:space="preserve"> </w:t>
      </w:r>
      <w:r>
        <w:t>possessed by that person.</w:t>
      </w:r>
    </w:p>
    <w:p w14:paraId="25314FF1" w14:textId="77777777" w:rsidR="00935963" w:rsidRDefault="004C5A27">
      <w:pPr>
        <w:pStyle w:val="Heading1"/>
        <w:spacing w:before="92"/>
      </w:pPr>
      <w:r>
        <w:t>SECTION IV. Exemptions:</w:t>
      </w:r>
    </w:p>
    <w:p w14:paraId="6FD4A73D" w14:textId="77777777" w:rsidR="00935963" w:rsidRDefault="004C5A27">
      <w:pPr>
        <w:pStyle w:val="BodyText"/>
        <w:spacing w:before="162"/>
        <w:ind w:left="100" w:right="114"/>
        <w:jc w:val="both"/>
      </w:pPr>
      <w:r>
        <w:t>Any</w:t>
      </w:r>
      <w:r>
        <w:rPr>
          <w:spacing w:val="-9"/>
        </w:rPr>
        <w:t xml:space="preserve"> </w:t>
      </w:r>
      <w:r>
        <w:t>owner</w:t>
      </w:r>
      <w:r>
        <w:rPr>
          <w:spacing w:val="-10"/>
        </w:rPr>
        <w:t xml:space="preserve"> </w:t>
      </w:r>
      <w:r>
        <w:t>or</w:t>
      </w:r>
      <w:r>
        <w:rPr>
          <w:spacing w:val="-9"/>
        </w:rPr>
        <w:t xml:space="preserve"> </w:t>
      </w:r>
      <w:r>
        <w:t>keeper</w:t>
      </w:r>
      <w:r>
        <w:rPr>
          <w:spacing w:val="-10"/>
        </w:rPr>
        <w:t xml:space="preserve"> </w:t>
      </w:r>
      <w:r>
        <w:t>who</w:t>
      </w:r>
      <w:r>
        <w:rPr>
          <w:spacing w:val="-8"/>
        </w:rPr>
        <w:t xml:space="preserve"> </w:t>
      </w:r>
      <w:r>
        <w:t>requires</w:t>
      </w:r>
      <w:r>
        <w:rPr>
          <w:spacing w:val="-8"/>
        </w:rPr>
        <w:t xml:space="preserve"> </w:t>
      </w:r>
      <w:r>
        <w:t>the</w:t>
      </w:r>
      <w:r>
        <w:rPr>
          <w:spacing w:val="-8"/>
        </w:rPr>
        <w:t xml:space="preserve"> </w:t>
      </w:r>
      <w:r>
        <w:t>use</w:t>
      </w:r>
      <w:r>
        <w:rPr>
          <w:spacing w:val="-8"/>
        </w:rPr>
        <w:t xml:space="preserve"> </w:t>
      </w:r>
      <w:r>
        <w:t>of</w:t>
      </w:r>
      <w:r>
        <w:rPr>
          <w:spacing w:val="-10"/>
        </w:rPr>
        <w:t xml:space="preserve"> </w:t>
      </w:r>
      <w:r>
        <w:t>a</w:t>
      </w:r>
      <w:r>
        <w:rPr>
          <w:spacing w:val="-8"/>
        </w:rPr>
        <w:t xml:space="preserve"> </w:t>
      </w:r>
      <w:r>
        <w:t>disability</w:t>
      </w:r>
      <w:r>
        <w:rPr>
          <w:spacing w:val="-11"/>
        </w:rPr>
        <w:t xml:space="preserve"> </w:t>
      </w:r>
      <w:r>
        <w:t>assistance</w:t>
      </w:r>
      <w:r>
        <w:rPr>
          <w:spacing w:val="-11"/>
        </w:rPr>
        <w:t xml:space="preserve"> </w:t>
      </w:r>
      <w:r>
        <w:t>animal</w:t>
      </w:r>
      <w:r>
        <w:rPr>
          <w:spacing w:val="-10"/>
        </w:rPr>
        <w:t xml:space="preserve"> </w:t>
      </w:r>
      <w:r>
        <w:t>for</w:t>
      </w:r>
      <w:r>
        <w:rPr>
          <w:spacing w:val="-9"/>
        </w:rPr>
        <w:t xml:space="preserve"> </w:t>
      </w:r>
      <w:r>
        <w:t>disabilities such as vision or hearing loss, or other physical disabilities, shall be exempt from the provisions of this section while such animal is being used for that purpose. This exemption is not applicable to pets that are exclusively emotional support</w:t>
      </w:r>
      <w:r>
        <w:rPr>
          <w:spacing w:val="-21"/>
        </w:rPr>
        <w:t xml:space="preserve"> </w:t>
      </w:r>
      <w:r>
        <w:t>animals.</w:t>
      </w:r>
    </w:p>
    <w:p w14:paraId="4C20D56E" w14:textId="77777777" w:rsidR="00833468" w:rsidRDefault="00833468">
      <w:pPr>
        <w:pStyle w:val="Heading1"/>
        <w:spacing w:before="179"/>
      </w:pPr>
    </w:p>
    <w:p w14:paraId="22A8C9FC" w14:textId="77777777" w:rsidR="00935963" w:rsidRDefault="004C5A27">
      <w:pPr>
        <w:pStyle w:val="Heading1"/>
        <w:spacing w:before="179"/>
      </w:pPr>
      <w:r>
        <w:lastRenderedPageBreak/>
        <w:t>SECTION V. Enforcement:</w:t>
      </w:r>
    </w:p>
    <w:p w14:paraId="4059870A" w14:textId="77777777" w:rsidR="00935963" w:rsidRDefault="004C5A27" w:rsidP="009C4403">
      <w:pPr>
        <w:spacing w:before="163" w:line="259" w:lineRule="auto"/>
        <w:ind w:left="100" w:right="113"/>
        <w:jc w:val="both"/>
        <w:rPr>
          <w:sz w:val="26"/>
        </w:rPr>
      </w:pPr>
      <w:r>
        <w:rPr>
          <w:sz w:val="24"/>
        </w:rPr>
        <w:t>This regulation shall be en</w:t>
      </w:r>
      <w:r w:rsidRPr="004C5A27">
        <w:rPr>
          <w:sz w:val="24"/>
        </w:rPr>
        <w:t xml:space="preserve">forced by </w:t>
      </w:r>
      <w:r w:rsidR="0093357D" w:rsidRPr="004C5A27">
        <w:t>Rowan College at Burlington County</w:t>
      </w:r>
      <w:r w:rsidRPr="004C5A27">
        <w:t>.</w:t>
      </w:r>
    </w:p>
    <w:p w14:paraId="459E50D7" w14:textId="77777777" w:rsidR="00935963" w:rsidRDefault="00935963">
      <w:pPr>
        <w:pStyle w:val="BodyText"/>
        <w:spacing w:before="8"/>
        <w:rPr>
          <w:sz w:val="29"/>
        </w:rPr>
      </w:pPr>
    </w:p>
    <w:p w14:paraId="65902983" w14:textId="77777777" w:rsidR="00935963" w:rsidRDefault="004C5A27">
      <w:pPr>
        <w:pStyle w:val="Heading1"/>
      </w:pPr>
      <w:r>
        <w:t>SECTION VI. Violations and</w:t>
      </w:r>
      <w:r>
        <w:rPr>
          <w:spacing w:val="-23"/>
        </w:rPr>
        <w:t xml:space="preserve"> </w:t>
      </w:r>
      <w:r>
        <w:t>Penalties:</w:t>
      </w:r>
    </w:p>
    <w:p w14:paraId="66956586" w14:textId="77777777" w:rsidR="00935963" w:rsidRDefault="004C5A27" w:rsidP="009C4403">
      <w:pPr>
        <w:pStyle w:val="BodyText"/>
        <w:spacing w:before="162"/>
        <w:ind w:left="100" w:right="115"/>
        <w:jc w:val="both"/>
        <w:rPr>
          <w:sz w:val="26"/>
        </w:rPr>
      </w:pPr>
      <w:r>
        <w:t xml:space="preserve">Any person(s) who is found to be in violation of the provisions of this regulation may be subject to a fine not </w:t>
      </w:r>
      <w:r w:rsidRPr="004C5A27">
        <w:t>to exceed $100.</w:t>
      </w:r>
    </w:p>
    <w:p w14:paraId="0C64A4D8" w14:textId="77777777" w:rsidR="00935963" w:rsidRDefault="004C5A27">
      <w:pPr>
        <w:pStyle w:val="Heading1"/>
        <w:spacing w:before="180"/>
      </w:pPr>
      <w:r>
        <w:t>SECTION VII. Severability:</w:t>
      </w:r>
    </w:p>
    <w:p w14:paraId="0C1499CF" w14:textId="77777777" w:rsidR="00935963" w:rsidRDefault="004C5A27">
      <w:pPr>
        <w:pStyle w:val="BodyText"/>
        <w:spacing w:before="162"/>
        <w:ind w:left="100" w:right="117"/>
        <w:jc w:val="both"/>
      </w:pPr>
      <w:r>
        <w:t>Each section, subsection, sentence, clause and phrase of this Regulation is declared to be an independent section, subsection, sentence, clause and phrase, and the finding or holding of any such portion of this Regulation to be unconstitutional, void, or ineffective for any cause, or reason, shall not affect any other portion of this Regulation.</w:t>
      </w:r>
    </w:p>
    <w:p w14:paraId="0D5D5B8A" w14:textId="77777777" w:rsidR="00935963" w:rsidRDefault="00935963">
      <w:pPr>
        <w:pStyle w:val="BodyText"/>
        <w:spacing w:before="7"/>
        <w:rPr>
          <w:sz w:val="20"/>
        </w:rPr>
      </w:pPr>
    </w:p>
    <w:p w14:paraId="518D7F98" w14:textId="77777777" w:rsidR="00935963" w:rsidRDefault="004C5A27">
      <w:pPr>
        <w:pStyle w:val="Heading1"/>
      </w:pPr>
      <w:r>
        <w:t>SECTION VIII. Effective Date:</w:t>
      </w:r>
    </w:p>
    <w:p w14:paraId="3C64C87B" w14:textId="77777777" w:rsidR="00935963" w:rsidRDefault="004C5A27">
      <w:pPr>
        <w:pStyle w:val="BodyText"/>
        <w:spacing w:before="162"/>
        <w:ind w:left="100" w:right="125"/>
        <w:jc w:val="both"/>
      </w:pPr>
      <w:r>
        <w:t>This Regulation shall be in full force and effect from and after its adoption and any publication as may be required by law.</w:t>
      </w:r>
    </w:p>
    <w:p w14:paraId="016BDD7F" w14:textId="77777777" w:rsidR="00935963" w:rsidRDefault="00935963">
      <w:pPr>
        <w:pStyle w:val="BodyText"/>
      </w:pPr>
    </w:p>
    <w:p w14:paraId="221CF734" w14:textId="77777777" w:rsidR="00882956" w:rsidRDefault="00882956" w:rsidP="00882956">
      <w:pPr>
        <w:pStyle w:val="BodyText"/>
        <w:tabs>
          <w:tab w:val="left" w:pos="9414"/>
        </w:tabs>
        <w:ind w:left="100"/>
        <w:rPr>
          <w:spacing w:val="-2"/>
        </w:rPr>
      </w:pPr>
      <w:r>
        <w:t>Adoption</w:t>
      </w:r>
      <w:r>
        <w:rPr>
          <w:spacing w:val="-5"/>
        </w:rPr>
        <w:t xml:space="preserve"> </w:t>
      </w:r>
      <w:r>
        <w:t>Date:</w:t>
      </w:r>
      <w:r>
        <w:rPr>
          <w:spacing w:val="-2"/>
        </w:rPr>
        <w:t xml:space="preserve"> March 2005  </w:t>
      </w:r>
    </w:p>
    <w:p w14:paraId="4C4443DB" w14:textId="77777777" w:rsidR="00882956" w:rsidRDefault="00882956" w:rsidP="00882956">
      <w:pPr>
        <w:pStyle w:val="BodyText"/>
        <w:tabs>
          <w:tab w:val="left" w:pos="9414"/>
        </w:tabs>
        <w:ind w:left="100"/>
        <w:rPr>
          <w:sz w:val="27"/>
        </w:rPr>
      </w:pPr>
      <w:r>
        <w:rPr>
          <w:spacing w:val="-2"/>
        </w:rPr>
        <w:t>Revised: September 2025</w:t>
      </w:r>
    </w:p>
    <w:p w14:paraId="71EC1637" w14:textId="77777777" w:rsidR="00935963" w:rsidRDefault="00882956" w:rsidP="00882956">
      <w:pPr>
        <w:pStyle w:val="BodyText"/>
        <w:tabs>
          <w:tab w:val="left" w:pos="9414"/>
        </w:tabs>
        <w:ind w:left="100"/>
      </w:pPr>
      <w:r>
        <w:t>Approved</w:t>
      </w:r>
      <w:r>
        <w:rPr>
          <w:spacing w:val="-7"/>
        </w:rPr>
        <w:t xml:space="preserve"> </w:t>
      </w:r>
      <w:r>
        <w:t>By</w:t>
      </w:r>
      <w:r w:rsidRPr="001E6BC0">
        <w:t>:</w:t>
      </w:r>
      <w:r w:rsidRPr="001E6BC0">
        <w:rPr>
          <w:spacing w:val="2"/>
        </w:rPr>
        <w:t xml:space="preserve"> </w:t>
      </w:r>
      <w:r w:rsidRPr="001E6BC0">
        <w:t xml:space="preserve"> Jerry Gagliano, Assistant Director of Facilities and Operations</w:t>
      </w:r>
    </w:p>
    <w:sectPr w:rsidR="00935963">
      <w:headerReference w:type="default" r:id="rId7"/>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0A7A" w14:textId="77777777" w:rsidR="00087726" w:rsidRDefault="00087726" w:rsidP="00776508">
      <w:r>
        <w:separator/>
      </w:r>
    </w:p>
  </w:endnote>
  <w:endnote w:type="continuationSeparator" w:id="0">
    <w:p w14:paraId="3B72FE27" w14:textId="77777777" w:rsidR="00087726" w:rsidRDefault="00087726" w:rsidP="0077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D57A" w14:textId="77777777" w:rsidR="00087726" w:rsidRDefault="00087726" w:rsidP="00776508">
      <w:r>
        <w:separator/>
      </w:r>
    </w:p>
  </w:footnote>
  <w:footnote w:type="continuationSeparator" w:id="0">
    <w:p w14:paraId="5F671341" w14:textId="77777777" w:rsidR="00087726" w:rsidRDefault="00087726" w:rsidP="0077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5758" w14:textId="77777777" w:rsidR="00776508" w:rsidRDefault="00776508" w:rsidP="00776508">
    <w:pPr>
      <w:pStyle w:val="Header"/>
      <w:pBdr>
        <w:bottom w:val="single" w:sz="6" w:space="1" w:color="auto"/>
      </w:pBdr>
      <w:jc w:val="center"/>
    </w:pPr>
    <w:r>
      <w:rPr>
        <w:noProof/>
      </w:rPr>
      <w:drawing>
        <wp:inline distT="0" distB="0" distL="0" distR="0" wp14:anchorId="1698720B" wp14:editId="14384AB8">
          <wp:extent cx="3754368" cy="952885"/>
          <wp:effectExtent l="0" t="0" r="0" b="0"/>
          <wp:docPr id="1" name="Picture 1" descr="Rowan College at Burlingto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wan College at Burlington County logo"/>
                  <pic:cNvPicPr/>
                </pic:nvPicPr>
                <pic:blipFill>
                  <a:blip r:embed="rId1">
                    <a:extLst>
                      <a:ext uri="{28A0092B-C50C-407E-A947-70E740481C1C}">
                        <a14:useLocalDpi xmlns:a14="http://schemas.microsoft.com/office/drawing/2010/main" val="0"/>
                      </a:ext>
                    </a:extLst>
                  </a:blip>
                  <a:stretch>
                    <a:fillRect/>
                  </a:stretch>
                </pic:blipFill>
                <pic:spPr>
                  <a:xfrm>
                    <a:off x="0" y="0"/>
                    <a:ext cx="3754368" cy="952885"/>
                  </a:xfrm>
                  <a:prstGeom prst="rect">
                    <a:avLst/>
                  </a:prstGeom>
                </pic:spPr>
              </pic:pic>
            </a:graphicData>
          </a:graphic>
        </wp:inline>
      </w:drawing>
    </w:r>
  </w:p>
  <w:p w14:paraId="6873899B" w14:textId="77777777" w:rsidR="00776508" w:rsidRDefault="00776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9F1"/>
    <w:multiLevelType w:val="hybridMultilevel"/>
    <w:tmpl w:val="CF00BA36"/>
    <w:lvl w:ilvl="0" w:tplc="5D5608FC">
      <w:start w:val="1"/>
      <w:numFmt w:val="upperLetter"/>
      <w:lvlText w:val="%1."/>
      <w:lvlJc w:val="left"/>
      <w:pPr>
        <w:ind w:left="820" w:hanging="360"/>
        <w:jc w:val="left"/>
      </w:pPr>
      <w:rPr>
        <w:rFonts w:ascii="Arial" w:eastAsia="Arial" w:hAnsi="Arial" w:cs="Arial" w:hint="default"/>
        <w:w w:val="100"/>
        <w:sz w:val="24"/>
        <w:szCs w:val="24"/>
        <w:lang w:val="en-US" w:eastAsia="en-US" w:bidi="en-US"/>
      </w:rPr>
    </w:lvl>
    <w:lvl w:ilvl="1" w:tplc="E88A9A50">
      <w:numFmt w:val="bullet"/>
      <w:lvlText w:val="•"/>
      <w:lvlJc w:val="left"/>
      <w:pPr>
        <w:ind w:left="1696" w:hanging="360"/>
      </w:pPr>
      <w:rPr>
        <w:rFonts w:hint="default"/>
        <w:lang w:val="en-US" w:eastAsia="en-US" w:bidi="en-US"/>
      </w:rPr>
    </w:lvl>
    <w:lvl w:ilvl="2" w:tplc="7FF8C04A">
      <w:numFmt w:val="bullet"/>
      <w:lvlText w:val="•"/>
      <w:lvlJc w:val="left"/>
      <w:pPr>
        <w:ind w:left="2572" w:hanging="360"/>
      </w:pPr>
      <w:rPr>
        <w:rFonts w:hint="default"/>
        <w:lang w:val="en-US" w:eastAsia="en-US" w:bidi="en-US"/>
      </w:rPr>
    </w:lvl>
    <w:lvl w:ilvl="3" w:tplc="594E9A60">
      <w:numFmt w:val="bullet"/>
      <w:lvlText w:val="•"/>
      <w:lvlJc w:val="left"/>
      <w:pPr>
        <w:ind w:left="3448" w:hanging="360"/>
      </w:pPr>
      <w:rPr>
        <w:rFonts w:hint="default"/>
        <w:lang w:val="en-US" w:eastAsia="en-US" w:bidi="en-US"/>
      </w:rPr>
    </w:lvl>
    <w:lvl w:ilvl="4" w:tplc="D612F39E">
      <w:numFmt w:val="bullet"/>
      <w:lvlText w:val="•"/>
      <w:lvlJc w:val="left"/>
      <w:pPr>
        <w:ind w:left="4324" w:hanging="360"/>
      </w:pPr>
      <w:rPr>
        <w:rFonts w:hint="default"/>
        <w:lang w:val="en-US" w:eastAsia="en-US" w:bidi="en-US"/>
      </w:rPr>
    </w:lvl>
    <w:lvl w:ilvl="5" w:tplc="7FFAFCB2">
      <w:numFmt w:val="bullet"/>
      <w:lvlText w:val="•"/>
      <w:lvlJc w:val="left"/>
      <w:pPr>
        <w:ind w:left="5200" w:hanging="360"/>
      </w:pPr>
      <w:rPr>
        <w:rFonts w:hint="default"/>
        <w:lang w:val="en-US" w:eastAsia="en-US" w:bidi="en-US"/>
      </w:rPr>
    </w:lvl>
    <w:lvl w:ilvl="6" w:tplc="E12633A4">
      <w:numFmt w:val="bullet"/>
      <w:lvlText w:val="•"/>
      <w:lvlJc w:val="left"/>
      <w:pPr>
        <w:ind w:left="6076" w:hanging="360"/>
      </w:pPr>
      <w:rPr>
        <w:rFonts w:hint="default"/>
        <w:lang w:val="en-US" w:eastAsia="en-US" w:bidi="en-US"/>
      </w:rPr>
    </w:lvl>
    <w:lvl w:ilvl="7" w:tplc="6254C8F0">
      <w:numFmt w:val="bullet"/>
      <w:lvlText w:val="•"/>
      <w:lvlJc w:val="left"/>
      <w:pPr>
        <w:ind w:left="6952" w:hanging="360"/>
      </w:pPr>
      <w:rPr>
        <w:rFonts w:hint="default"/>
        <w:lang w:val="en-US" w:eastAsia="en-US" w:bidi="en-US"/>
      </w:rPr>
    </w:lvl>
    <w:lvl w:ilvl="8" w:tplc="189EC764">
      <w:numFmt w:val="bullet"/>
      <w:lvlText w:val="•"/>
      <w:lvlJc w:val="left"/>
      <w:pPr>
        <w:ind w:left="7828" w:hanging="360"/>
      </w:pPr>
      <w:rPr>
        <w:rFonts w:hint="default"/>
        <w:lang w:val="en-US" w:eastAsia="en-US" w:bidi="en-US"/>
      </w:rPr>
    </w:lvl>
  </w:abstractNum>
  <w:num w:numId="1" w16cid:durableId="21019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63"/>
    <w:rsid w:val="000169C3"/>
    <w:rsid w:val="00087726"/>
    <w:rsid w:val="001513DF"/>
    <w:rsid w:val="0027410B"/>
    <w:rsid w:val="002B4EA0"/>
    <w:rsid w:val="003E55CF"/>
    <w:rsid w:val="004C5A27"/>
    <w:rsid w:val="005A0184"/>
    <w:rsid w:val="00776508"/>
    <w:rsid w:val="00833468"/>
    <w:rsid w:val="00882956"/>
    <w:rsid w:val="0093357D"/>
    <w:rsid w:val="00935963"/>
    <w:rsid w:val="00972961"/>
    <w:rsid w:val="009C4403"/>
    <w:rsid w:val="00D9179B"/>
    <w:rsid w:val="00ED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4D877"/>
  <w15:docId w15:val="{F6F72220-2239-4981-8A92-1F603AA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C4403"/>
    <w:rPr>
      <w:rFonts w:ascii="Arial" w:eastAsia="Arial" w:hAnsi="Arial" w:cs="Arial"/>
      <w:sz w:val="24"/>
      <w:szCs w:val="24"/>
      <w:lang w:bidi="en-US"/>
    </w:rPr>
  </w:style>
  <w:style w:type="paragraph" w:styleId="Header">
    <w:name w:val="header"/>
    <w:basedOn w:val="Normal"/>
    <w:link w:val="HeaderChar"/>
    <w:uiPriority w:val="99"/>
    <w:unhideWhenUsed/>
    <w:rsid w:val="00776508"/>
    <w:pPr>
      <w:tabs>
        <w:tab w:val="center" w:pos="4680"/>
        <w:tab w:val="right" w:pos="9360"/>
      </w:tabs>
    </w:pPr>
  </w:style>
  <w:style w:type="character" w:customStyle="1" w:styleId="HeaderChar">
    <w:name w:val="Header Char"/>
    <w:basedOn w:val="DefaultParagraphFont"/>
    <w:link w:val="Header"/>
    <w:uiPriority w:val="99"/>
    <w:rsid w:val="00776508"/>
    <w:rPr>
      <w:rFonts w:ascii="Arial" w:eastAsia="Arial" w:hAnsi="Arial" w:cs="Arial"/>
      <w:lang w:bidi="en-US"/>
    </w:rPr>
  </w:style>
  <w:style w:type="paragraph" w:styleId="Footer">
    <w:name w:val="footer"/>
    <w:basedOn w:val="Normal"/>
    <w:link w:val="FooterChar"/>
    <w:uiPriority w:val="99"/>
    <w:unhideWhenUsed/>
    <w:rsid w:val="00776508"/>
    <w:pPr>
      <w:tabs>
        <w:tab w:val="center" w:pos="4680"/>
        <w:tab w:val="right" w:pos="9360"/>
      </w:tabs>
    </w:pPr>
  </w:style>
  <w:style w:type="character" w:customStyle="1" w:styleId="FooterChar">
    <w:name w:val="Footer Char"/>
    <w:basedOn w:val="DefaultParagraphFont"/>
    <w:link w:val="Footer"/>
    <w:uiPriority w:val="99"/>
    <w:rsid w:val="0077650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Maugeri, Hannah [DEP]</dc:creator>
  <cp:lastModifiedBy>Jason Varga</cp:lastModifiedBy>
  <cp:revision>12</cp:revision>
  <dcterms:created xsi:type="dcterms:W3CDTF">2025-09-11T15:35:00Z</dcterms:created>
  <dcterms:modified xsi:type="dcterms:W3CDTF">2025-10-08T13:37:00Z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2025-09-11T00:00:00Z</vt:filetime>
  </property>
</Properties>
</file>